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71E7D" w14:textId="77777777" w:rsidR="00203D81" w:rsidRDefault="00203D81" w:rsidP="00203D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[</w:t>
      </w:r>
      <w:proofErr w:type="spellStart"/>
      <w:proofErr w:type="gramStart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aamf</w:t>
      </w:r>
      <w:proofErr w:type="spellEnd"/>
      <w:proofErr w:type="gramEnd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-tous] </w:t>
      </w: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24/11/2020 </w:t>
      </w:r>
    </w:p>
    <w:p w14:paraId="2317103A" w14:textId="6E02A314" w:rsidR="00203D81" w:rsidRPr="00203D81" w:rsidRDefault="00203D81" w:rsidP="00203D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Parution de l'arrêté nouveau tarif d'achat biométhane &amp; décret nouvelles dispositions</w:t>
      </w:r>
    </w:p>
    <w:p w14:paraId="013C23F2" w14:textId="6223079B" w:rsidR="005669E3" w:rsidRDefault="00203D81">
      <w:r>
        <w:t>Bonjour à tous, chers adhérents AAMF,</w:t>
      </w:r>
      <w:r>
        <w:br/>
      </w:r>
      <w:r>
        <w:br/>
        <w:t>L’arrêté fixant les nouveaux tarifs d’achat et le décret définissant de</w:t>
      </w:r>
      <w:r>
        <w:br/>
        <w:t>nouvelles disposition sur l’achat de biométhane à un tarif réglementé ont</w:t>
      </w:r>
      <w:r>
        <w:br/>
        <w:t>été publiés hier au journal officiel.</w:t>
      </w:r>
      <w:r>
        <w:br/>
      </w:r>
      <w:r>
        <w:br/>
        <w:t>C’est évidemment les fournisseurs d’énergie avec qui vous contractualisez</w:t>
      </w:r>
      <w:r>
        <w:br/>
        <w:t>qui restent vos interlocuteurs privilégiés sur le sujet mais l’AAMF tient à</w:t>
      </w:r>
      <w:r>
        <w:br/>
        <w:t>vous tenir informés des évolutions et problématiques aussi bien tarifaires</w:t>
      </w:r>
      <w:r>
        <w:br/>
        <w:t>que réglementaires.</w:t>
      </w:r>
      <w:r>
        <w:br/>
      </w:r>
      <w:r>
        <w:br/>
        <w:t>Nous restons naturellement à votre écoute pour que vos remontées</w:t>
      </w:r>
      <w:r>
        <w:br/>
        <w:t>nourrissent nos réflexions.</w:t>
      </w:r>
      <w:r>
        <w:br/>
      </w:r>
      <w:r>
        <w:br/>
      </w:r>
      <w:r>
        <w:br/>
      </w:r>
      <w:r w:rsidRPr="00203D81">
        <w:rPr>
          <w:u w:val="single"/>
        </w:rPr>
        <w:t>Arrêté du 23 novembre 2020</w:t>
      </w:r>
      <w:r>
        <w:t xml:space="preserve"> fixant les conditions d'achat du biométhane</w:t>
      </w:r>
      <w:r>
        <w:br/>
        <w:t>injecté dans les réseaux de gaz naturel</w:t>
      </w:r>
      <w:r>
        <w:br/>
        <w:t>&lt;</w:t>
      </w:r>
      <w:hyperlink r:id="rId4" w:tgtFrame="_blank" w:history="1">
        <w:r>
          <w:rPr>
            <w:rStyle w:val="Lienhypertexte"/>
          </w:rPr>
          <w:t>https://www.legifrance.gouv.fr/jorf/id/JORFTEXT000042552351</w:t>
        </w:r>
      </w:hyperlink>
      <w:r>
        <w:t>&gt;  : (également</w:t>
      </w:r>
      <w:r>
        <w:br/>
        <w:t xml:space="preserve">en pièce jointe) </w:t>
      </w:r>
      <w:r>
        <w:br/>
      </w:r>
      <w:r>
        <w:br/>
        <w:t>*       Abroge le tarif d'achat en vigueur et concerne les nouveaux contrats</w:t>
      </w:r>
      <w:r>
        <w:br/>
        <w:t>d’achat signés à partir du 25 novembre 2020 ;</w:t>
      </w:r>
      <w:r>
        <w:br/>
        <w:t>*       Concerne les installations produisant du biométhane injecté dans le</w:t>
      </w:r>
      <w:r>
        <w:br/>
        <w:t>réseau pour une capacité maximale de 300 Nm3/h. Les unités d’une capacité</w:t>
      </w:r>
      <w:r>
        <w:br/>
        <w:t>supérieure devront passer par une démarche d’appel d’offre pour bénéficier</w:t>
      </w:r>
      <w:r>
        <w:br/>
        <w:t>d’un tarif d’achat.</w:t>
      </w:r>
      <w:r>
        <w:br/>
      </w:r>
      <w:r>
        <w:br/>
        <w:t xml:space="preserve">-        Le tarif est composé : </w:t>
      </w:r>
      <w:r>
        <w:br/>
      </w:r>
      <w:r>
        <w:br/>
        <w:t>o   D’un tarif de base dont le montant dépend du Cmax de l’installation (de</w:t>
      </w:r>
      <w:r>
        <w:br/>
        <w:t>122 €/MWh PCS si ≤ 50 Nm3/h à 86 €/MWh PCS pour 300 Nm3/h) ;</w:t>
      </w:r>
      <w:r>
        <w:br/>
      </w:r>
      <w:r>
        <w:br/>
        <w:t>o   D’une prime « effluents d’élevage » (Max 10 €/MWh PCS pour 60%</w:t>
      </w:r>
      <w:r>
        <w:br/>
        <w:t>d’effluents d’élevage ou plus) OU d’une prime « eaux usées » dans le cas des</w:t>
      </w:r>
      <w:r>
        <w:br/>
        <w:t>installations traitant des matières issues du traitement des eaux usées</w:t>
      </w:r>
      <w:r>
        <w:br/>
        <w:t>(hors IAA) ;</w:t>
      </w:r>
      <w:r>
        <w:br/>
      </w:r>
      <w:r>
        <w:br/>
        <w:t>o   D’une prime pour les installations injectant sur un réseau de</w:t>
      </w:r>
      <w:r>
        <w:br/>
        <w:t>distribution de moins de 100 000 clients ;</w:t>
      </w:r>
      <w:r>
        <w:br/>
      </w:r>
      <w:r>
        <w:br/>
        <w:t>o   D’un « malus » pour les installations bénéficiant d’une aide à</w:t>
      </w:r>
      <w:r>
        <w:br/>
        <w:t>l’investissement ADEME de - 5 €/MWh PCS</w:t>
      </w:r>
      <w:r>
        <w:br/>
      </w:r>
      <w:r>
        <w:lastRenderedPageBreak/>
        <w:br/>
        <w:t>*       D’un dispositif d'indexation automatique en fonction du volume de</w:t>
      </w:r>
      <w:r>
        <w:br/>
        <w:t>contrats déjà signés : le tarif évolue trimestriellement en fonction de</w:t>
      </w:r>
      <w:r>
        <w:br/>
        <w:t>l'écart à la trajectoire cible fixée par la PPE. Un dispositif "</w:t>
      </w:r>
      <w:proofErr w:type="spellStart"/>
      <w:r>
        <w:t>anti-bulle</w:t>
      </w:r>
      <w:proofErr w:type="spellEnd"/>
      <w:r>
        <w:t>"</w:t>
      </w:r>
      <w:r>
        <w:br/>
        <w:t>s’active lorsque la trajectoire dépasse 5 fois la trajectoire cible fixée</w:t>
      </w:r>
      <w:r>
        <w:br/>
        <w:t>par la PPE sur 2 trimestres.</w:t>
      </w:r>
      <w:r>
        <w:br/>
      </w:r>
      <w:r>
        <w:br/>
        <w:t>Il est à noter que cet arrêté met en place un tarif transitoire, un nouveau</w:t>
      </w:r>
      <w:r>
        <w:br/>
        <w:t>tarif définitif devant être mis en place après échanges entre la DGEC et la</w:t>
      </w:r>
      <w:r>
        <w:br/>
        <w:t>Commission Européenne pour une notification de celui-ci.</w:t>
      </w:r>
      <w:r>
        <w:br/>
      </w:r>
      <w:r>
        <w:br/>
      </w:r>
      <w:r>
        <w:br/>
      </w:r>
      <w:r w:rsidRPr="00203D81">
        <w:rPr>
          <w:u w:val="single"/>
        </w:rPr>
        <w:br/>
        <w:t>Décret n° 2020-1428 du 23 novembre 2020</w:t>
      </w:r>
      <w:r>
        <w:t xml:space="preserve"> portant diverses dispositions</w:t>
      </w:r>
      <w:r>
        <w:br/>
        <w:t>d'adaptation de l'obligation d'achat à un tarif réglementé du biométhane</w:t>
      </w:r>
      <w:r>
        <w:br/>
        <w:t>injecté dans un réseau de gaz naturel</w:t>
      </w:r>
      <w:r>
        <w:br/>
        <w:t>&lt;</w:t>
      </w:r>
      <w:hyperlink r:id="rId5" w:tgtFrame="_blank" w:history="1">
        <w:r>
          <w:rPr>
            <w:rStyle w:val="Lienhypertexte"/>
          </w:rPr>
          <w:t>https://www.legifrance.gouv.fr/jorf/id/JORFTEXT000042552301</w:t>
        </w:r>
      </w:hyperlink>
      <w:r>
        <w:t>&gt;  : (également</w:t>
      </w:r>
      <w:r>
        <w:br/>
        <w:t>en pièce jointe)</w:t>
      </w:r>
      <w:r>
        <w:br/>
      </w:r>
      <w:r>
        <w:br/>
        <w:t>-        Conditions préalables à la signature d’un contrat : un contrat</w:t>
      </w:r>
      <w:r>
        <w:br/>
        <w:t>peut être signé lorsque le dossier ICPE de l’installation est complet et</w:t>
      </w:r>
      <w:r>
        <w:br/>
        <w:t>régulier (récépissé de déclaration, information sur le caractère complet du</w:t>
      </w:r>
      <w:r>
        <w:br/>
        <w:t>dossier ou arrêté d’enquête publique, selon les cas) et lorsque le PC a été</w:t>
      </w:r>
      <w:r>
        <w:br/>
        <w:t>délivré ;</w:t>
      </w:r>
      <w:r>
        <w:br/>
      </w:r>
      <w:r>
        <w:br/>
        <w:t>-        Délais de mise en service en cas de recours : la mise en service</w:t>
      </w:r>
      <w:r>
        <w:br/>
        <w:t>pourra être reportée jusqu’à 2 ans en cas de recours ;</w:t>
      </w:r>
      <w:r>
        <w:br/>
      </w:r>
      <w:r>
        <w:br/>
        <w:t xml:space="preserve">-        Evolutions du Cmax : </w:t>
      </w:r>
      <w:r>
        <w:br/>
      </w:r>
      <w:r>
        <w:br/>
        <w:t>o   Pour les contrats d’achat signés à partir du 23/11/2020 : 1 seule</w:t>
      </w:r>
      <w:r>
        <w:br/>
        <w:t>modification de Cmax par période de 24 mois, dans la limite du plafond de</w:t>
      </w:r>
      <w:r>
        <w:br/>
        <w:t>300 Nm3/h et sans être inférieure à 70% du Cmax initial ;</w:t>
      </w:r>
      <w:r>
        <w:br/>
      </w:r>
      <w:r>
        <w:br/>
        <w:t>o   Pour tous les contrats d’achat signés avant le 23/11/2020 : dans la</w:t>
      </w:r>
      <w:r>
        <w:br/>
        <w:t>limite de 100 Nm3/h de plus que le Cmax à date du 23/11, et sans être</w:t>
      </w:r>
      <w:r>
        <w:br/>
        <w:t>inférieure à 70% du Cmax à date du 23/11.</w:t>
      </w:r>
      <w:r>
        <w:br/>
      </w:r>
      <w:r>
        <w:br/>
        <w:t xml:space="preserve">-        Délais supplémentaires de mise en service : </w:t>
      </w:r>
      <w:r>
        <w:br/>
      </w:r>
      <w:r>
        <w:br/>
        <w:t>o   Pour les contrats signés entre le 12 mars 2017 et le 12 mars 2019 :</w:t>
      </w:r>
      <w:r>
        <w:br/>
        <w:t>prise d’effet du contrat d’achat dans un délai de 3 ans et 7 mois après</w:t>
      </w:r>
      <w:r>
        <w:br/>
        <w:t>signature ;</w:t>
      </w:r>
      <w:r>
        <w:br/>
      </w:r>
      <w:r>
        <w:br/>
        <w:t>*       Pour les contrats signés entre le 13 mars 2019 et le 12 mars 2020 :</w:t>
      </w:r>
      <w:r>
        <w:br/>
        <w:t>prise d’effet du contrat d’achat dans un délai de 3 ans et 3 mois après</w:t>
      </w:r>
      <w:r>
        <w:br/>
        <w:t>signature.</w:t>
      </w:r>
      <w:r>
        <w:br/>
      </w:r>
      <w:r>
        <w:br/>
      </w:r>
      <w:r>
        <w:lastRenderedPageBreak/>
        <w:br/>
      </w:r>
      <w:r>
        <w:br/>
        <w:t>Ces dispositions ont fait l’objet de nombreux échanges entre les services</w:t>
      </w:r>
      <w:r>
        <w:br/>
        <w:t>du ministère de la transition écologique (DGEC) et les acteurs de la</w:t>
      </w:r>
      <w:r>
        <w:br/>
        <w:t xml:space="preserve">filière, dont l’AAMF. </w:t>
      </w:r>
      <w:proofErr w:type="gramStart"/>
      <w:r>
        <w:t>Les premières version</w:t>
      </w:r>
      <w:proofErr w:type="gramEnd"/>
      <w:r>
        <w:t xml:space="preserve"> de ces textes présentaient des</w:t>
      </w:r>
      <w:r>
        <w:br/>
        <w:t>dispositions plus dures, que nous avons pu en partie assouplir. Le travail</w:t>
      </w:r>
      <w:r>
        <w:br/>
        <w:t>de l’AAMF, conjointement à d’autres acteurs nationaux, a notamment permis</w:t>
      </w:r>
      <w:r>
        <w:br/>
        <w:t xml:space="preserve">d’obtenir : </w:t>
      </w:r>
      <w:r>
        <w:br/>
      </w:r>
      <w:r>
        <w:br/>
        <w:t>*       Un assouplissement du dispositif d’indexation afin d’empêcher une</w:t>
      </w:r>
      <w:r>
        <w:br/>
        <w:t>baisse systématique à chaque trimestre, indépendamment du volume</w:t>
      </w:r>
      <w:r>
        <w:br/>
        <w:t>contractualisé ;</w:t>
      </w:r>
      <w:r>
        <w:br/>
        <w:t>*       Un assouplissement des conditions d’obtention du contrat,</w:t>
      </w:r>
      <w:r>
        <w:br/>
        <w:t>initialement conditionné à l’obtention du récépissé ou de l’arrêté ICPE,</w:t>
      </w:r>
      <w:r>
        <w:br/>
        <w:t>quel que soit le régime concerné ;</w:t>
      </w:r>
      <w:r>
        <w:br/>
        <w:t>*       Un délai supplémentaire pour la mise en service en cas de recours ;</w:t>
      </w:r>
      <w:r>
        <w:br/>
        <w:t>*       Des délais supplémentaires pour la mise en service des contrats en</w:t>
      </w:r>
      <w:r>
        <w:br/>
        <w:t>compensation des blocages liés à l’épidémie de COVID 19 (une avancée que</w:t>
      </w:r>
      <w:r>
        <w:br/>
        <w:t>nous devons tout particulièrement à vos retours de terrain, l’AAMF ayant été</w:t>
      </w:r>
      <w:r>
        <w:br/>
        <w:t>la seule à faire remonter des chiffres aussi complets sur les difficultés</w:t>
      </w:r>
      <w:r>
        <w:br/>
        <w:t>rencontrées par les porteurs de projet).</w:t>
      </w:r>
      <w:r>
        <w:br/>
      </w:r>
      <w:r>
        <w:br/>
      </w:r>
      <w:r>
        <w:br/>
      </w:r>
      <w:r>
        <w:br/>
        <w:t>Nous nous tenons à votre disposition si vous avez besoin de renseignements</w:t>
      </w:r>
      <w:r>
        <w:br/>
        <w:t>complémentaires.</w:t>
      </w:r>
      <w:r>
        <w:br/>
      </w:r>
      <w:r>
        <w:br/>
      </w:r>
      <w:r>
        <w:br/>
      </w:r>
      <w:r>
        <w:br/>
        <w:t xml:space="preserve">Jean-François </w:t>
      </w:r>
      <w:proofErr w:type="spellStart"/>
      <w:r>
        <w:t>Delaître</w:t>
      </w:r>
      <w:proofErr w:type="spellEnd"/>
      <w:r>
        <w:t xml:space="preserve">, président AAMF, </w:t>
      </w:r>
      <w:r>
        <w:br/>
      </w:r>
      <w:r>
        <w:br/>
        <w:t xml:space="preserve">Mauritz </w:t>
      </w:r>
      <w:proofErr w:type="spellStart"/>
      <w:r>
        <w:t>Quaak</w:t>
      </w:r>
      <w:proofErr w:type="spellEnd"/>
      <w:r>
        <w:t>, vice-président AAMF et pilote du GT injection,</w:t>
      </w:r>
      <w:r>
        <w:br/>
      </w:r>
      <w:r>
        <w:br/>
        <w:t xml:space="preserve">Jean-Marc </w:t>
      </w:r>
      <w:proofErr w:type="spellStart"/>
      <w:r>
        <w:t>Onno</w:t>
      </w:r>
      <w:proofErr w:type="spellEnd"/>
      <w:r>
        <w:t>, vice-président AAMF,</w:t>
      </w:r>
      <w:r>
        <w:br/>
      </w:r>
      <w:r>
        <w:br/>
        <w:t>Le conseil d’administration AAMF</w:t>
      </w:r>
      <w:r>
        <w:br/>
      </w:r>
      <w:r>
        <w:br/>
      </w:r>
      <w:r>
        <w:br/>
      </w:r>
      <w:r>
        <w:br/>
      </w:r>
      <w:hyperlink r:id="rId6" w:tgtFrame="_blank" w:history="1">
        <w:r>
          <w:rPr>
            <w:rStyle w:val="Lienhypertexte"/>
          </w:rPr>
          <w:t>aamf.fr</w:t>
        </w:r>
      </w:hyperlink>
      <w:r>
        <w:t xml:space="preserve"> &lt;</w:t>
      </w:r>
      <w:hyperlink r:id="rId7" w:tgtFrame="_blank" w:history="1">
        <w:r>
          <w:rPr>
            <w:rStyle w:val="Lienhypertexte"/>
          </w:rPr>
          <w:t>https://aamf.fr</w:t>
        </w:r>
      </w:hyperlink>
      <w:r>
        <w:t xml:space="preserve">&gt;  </w:t>
      </w:r>
      <w:r>
        <w:br/>
      </w:r>
      <w:r>
        <w:br/>
        <w:t>07 63 78 28 63</w:t>
      </w:r>
    </w:p>
    <w:sectPr w:rsidR="0056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6F"/>
    <w:rsid w:val="00203D81"/>
    <w:rsid w:val="003A3C6F"/>
    <w:rsid w:val="005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47F4"/>
  <w15:chartTrackingRefBased/>
  <w15:docId w15:val="{6A7BA807-F8BA-4E14-AE0F-36622755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03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amf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mf.fr" TargetMode="External"/><Relationship Id="rId5" Type="http://schemas.openxmlformats.org/officeDocument/2006/relationships/hyperlink" Target="https://www.legifrance.gouv.fr/jorf/id/JORFTEXT000042552301" TargetMode="External"/><Relationship Id="rId4" Type="http://schemas.openxmlformats.org/officeDocument/2006/relationships/hyperlink" Target="https://www.legifrance.gouv.fr/jorf/id/JORFTEXT0000425523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BERHAULT</dc:creator>
  <cp:keywords/>
  <dc:description/>
  <cp:lastModifiedBy>Hélène BERHAULT</cp:lastModifiedBy>
  <cp:revision>2</cp:revision>
  <dcterms:created xsi:type="dcterms:W3CDTF">2021-01-21T11:04:00Z</dcterms:created>
  <dcterms:modified xsi:type="dcterms:W3CDTF">2021-01-21T11:06:00Z</dcterms:modified>
</cp:coreProperties>
</file>