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right"/>
        <w:rPr>
          <w:rFonts w:ascii="Calibri" w:cs="Calibri" w:eastAsia="Calibri" w:hAnsi="Calibri"/>
          <w:color w:val="000000"/>
          <w:sz w:val="28"/>
          <w:szCs w:val="2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4343400</wp:posOffset>
            </wp:positionH>
            <wp:positionV relativeFrom="paragraph">
              <wp:posOffset>-205739</wp:posOffset>
            </wp:positionV>
            <wp:extent cx="1889760" cy="929640"/>
            <wp:effectExtent b="0" l="0" r="0" t="0"/>
            <wp:wrapNone/>
            <wp:docPr id="5" name="image1.jpg"/>
            <a:graphic>
              <a:graphicData uri="http://schemas.openxmlformats.org/drawingml/2006/picture">
                <pic:pic>
                  <pic:nvPicPr>
                    <pic:cNvPr id="0" name="image1.jpg"/>
                    <pic:cNvPicPr preferRelativeResize="0"/>
                  </pic:nvPicPr>
                  <pic:blipFill>
                    <a:blip r:embed="rId7"/>
                    <a:srcRect b="15004" l="6645" r="4650" t="20171"/>
                    <a:stretch>
                      <a:fillRect/>
                    </a:stretch>
                  </pic:blipFill>
                  <pic:spPr>
                    <a:xfrm>
                      <a:off x="0" y="0"/>
                      <a:ext cx="1889760" cy="929640"/>
                    </a:xfrm>
                    <a:prstGeom prst="rect"/>
                    <a:ln/>
                  </pic:spPr>
                </pic:pic>
              </a:graphicData>
            </a:graphic>
          </wp:anchor>
        </w:drawing>
      </w:r>
    </w:p>
    <w:p w:rsidR="00000000" w:rsidDel="00000000" w:rsidP="00000000" w:rsidRDefault="00000000" w:rsidRPr="00000000" w14:paraId="00000002">
      <w:pPr>
        <w:spacing w:after="0" w:line="240" w:lineRule="auto"/>
        <w:jc w:val="right"/>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03">
      <w:pPr>
        <w:spacing w:after="0" w:line="240" w:lineRule="auto"/>
        <w:rPr>
          <w:sz w:val="36"/>
          <w:szCs w:val="36"/>
        </w:rPr>
      </w:pPr>
      <w:r w:rsidDel="00000000" w:rsidR="00000000" w:rsidRPr="00000000">
        <w:rPr>
          <w:rFonts w:ascii="Calibri" w:cs="Calibri" w:eastAsia="Calibri" w:hAnsi="Calibri"/>
          <w:i w:val="1"/>
          <w:color w:val="000000"/>
          <w:sz w:val="28"/>
          <w:szCs w:val="28"/>
          <w:highlight w:val="yellow"/>
          <w:rtl w:val="0"/>
        </w:rPr>
        <w:t xml:space="preserve">Logo du site</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after="120" w:line="240" w:lineRule="auto"/>
        <w:jc w:val="center"/>
        <w:rPr>
          <w:b w:val="1"/>
          <w:sz w:val="36"/>
          <w:szCs w:val="36"/>
          <w:u w:val="single"/>
        </w:rPr>
      </w:pPr>
      <w:r w:rsidDel="00000000" w:rsidR="00000000" w:rsidRPr="00000000">
        <w:rPr>
          <w:b w:val="1"/>
          <w:sz w:val="36"/>
          <w:szCs w:val="36"/>
          <w:u w:val="single"/>
          <w:rtl w:val="0"/>
        </w:rPr>
        <w:t xml:space="preserve">Protocole d’échantillonnage</w:t>
      </w:r>
    </w:p>
    <w:p w:rsidR="00000000" w:rsidDel="00000000" w:rsidP="00000000" w:rsidRDefault="00000000" w:rsidRPr="00000000" w14:paraId="00000006">
      <w:pPr>
        <w:spacing w:after="120" w:line="240" w:lineRule="auto"/>
        <w:jc w:val="center"/>
        <w:rPr>
          <w:b w:val="1"/>
          <w:sz w:val="36"/>
          <w:szCs w:val="36"/>
          <w:u w:val="single"/>
        </w:rPr>
      </w:pPr>
      <w:r w:rsidDel="00000000" w:rsidR="00000000" w:rsidRPr="00000000">
        <w:rPr>
          <w:b w:val="1"/>
          <w:sz w:val="36"/>
          <w:szCs w:val="36"/>
          <w:u w:val="single"/>
          <w:rtl w:val="0"/>
        </w:rPr>
        <w:t xml:space="preserve">Matières en digestion et digestats liquides</w:t>
      </w:r>
    </w:p>
    <w:p w:rsidR="00000000" w:rsidDel="00000000" w:rsidP="00000000" w:rsidRDefault="00000000" w:rsidRPr="00000000" w14:paraId="00000007">
      <w:pPr>
        <w:spacing w:after="0" w:line="240" w:lineRule="auto"/>
        <w:jc w:val="center"/>
        <w:rPr>
          <w:rFonts w:ascii="Calibri" w:cs="Calibri" w:eastAsia="Calibri" w:hAnsi="Calibri"/>
          <w:i w:val="1"/>
          <w:color w:val="000000"/>
          <w:sz w:val="32"/>
          <w:szCs w:val="32"/>
          <w:highlight w:val="yellow"/>
        </w:rPr>
      </w:pPr>
      <w:r w:rsidDel="00000000" w:rsidR="00000000" w:rsidRPr="00000000">
        <w:rPr>
          <w:rFonts w:ascii="Calibri" w:cs="Calibri" w:eastAsia="Calibri" w:hAnsi="Calibri"/>
          <w:i w:val="1"/>
          <w:color w:val="000000"/>
          <w:sz w:val="32"/>
          <w:szCs w:val="32"/>
          <w:highlight w:val="yellow"/>
          <w:rtl w:val="0"/>
        </w:rPr>
        <w:t xml:space="preserve">Nom de l'unité de méthanisation</w:t>
      </w:r>
    </w:p>
    <w:p w:rsidR="00000000" w:rsidDel="00000000" w:rsidP="00000000" w:rsidRDefault="00000000" w:rsidRPr="00000000" w14:paraId="00000008">
      <w:pPr>
        <w:spacing w:after="0" w:line="240" w:lineRule="auto"/>
        <w:jc w:val="center"/>
        <w:rPr>
          <w:i w:val="1"/>
          <w:color w:val="595959"/>
          <w:sz w:val="36"/>
          <w:szCs w:val="36"/>
        </w:rPr>
      </w:pPr>
      <w:r w:rsidDel="00000000" w:rsidR="00000000" w:rsidRPr="00000000">
        <w:rPr>
          <w:rtl w:val="0"/>
        </w:rPr>
      </w:r>
    </w:p>
    <w:p w:rsidR="00000000" w:rsidDel="00000000" w:rsidP="00000000" w:rsidRDefault="00000000" w:rsidRPr="00000000" w14:paraId="00000009">
      <w:pPr>
        <w:spacing w:before="120" w:lineRule="auto"/>
        <w:jc w:val="both"/>
        <w:rPr>
          <w:b w:val="1"/>
          <w:i w:val="1"/>
          <w:color w:val="595959"/>
          <w:sz w:val="24"/>
          <w:szCs w:val="24"/>
        </w:rPr>
      </w:pPr>
      <w:r w:rsidDel="00000000" w:rsidR="00000000" w:rsidRPr="00000000">
        <w:rPr>
          <w:b w:val="1"/>
          <w:i w:val="1"/>
          <w:color w:val="595959"/>
          <w:sz w:val="24"/>
          <w:szCs w:val="24"/>
          <w:rtl w:val="0"/>
        </w:rPr>
        <w:t xml:space="preserve">Exemple AAMF</w:t>
      </w:r>
    </w:p>
    <w:p w:rsidR="00000000" w:rsidDel="00000000" w:rsidP="00000000" w:rsidRDefault="00000000" w:rsidRPr="00000000" w14:paraId="0000000A">
      <w:pPr>
        <w:spacing w:before="120" w:lineRule="auto"/>
        <w:jc w:val="both"/>
        <w:rPr>
          <w:color w:val="595959"/>
        </w:rPr>
      </w:pPr>
      <w:r w:rsidDel="00000000" w:rsidR="00000000" w:rsidRPr="00000000">
        <w:rPr>
          <w:b w:val="1"/>
          <w:i w:val="1"/>
          <w:color w:val="595959"/>
          <w:rtl w:val="0"/>
        </w:rPr>
        <w:t xml:space="preserve">Avertissement AAMF : </w:t>
      </w:r>
      <w:r w:rsidDel="00000000" w:rsidR="00000000" w:rsidRPr="00000000">
        <w:rPr>
          <w:i w:val="1"/>
          <w:color w:val="595959"/>
          <w:rtl w:val="0"/>
        </w:rPr>
        <w:t xml:space="preserve">Ce document est un exemple fourni par l’AAMF qui doit être adapté par vos soins à la situation de votre unité de méthanisation.</w:t>
      </w:r>
      <w:r w:rsidDel="00000000" w:rsidR="00000000" w:rsidRPr="00000000">
        <w:rPr>
          <w:rtl w:val="0"/>
        </w:rPr>
      </w:r>
    </w:p>
    <w:p w:rsidR="00000000" w:rsidDel="00000000" w:rsidP="00000000" w:rsidRDefault="00000000" w:rsidRPr="00000000" w14:paraId="0000000B">
      <w:pPr>
        <w:spacing w:after="0" w:line="240" w:lineRule="auto"/>
        <w:ind w:left="5103" w:firstLine="0"/>
        <w:jc w:val="center"/>
        <w:rPr/>
      </w:pPr>
      <w:r w:rsidDel="00000000" w:rsidR="00000000" w:rsidRPr="00000000">
        <w:rPr>
          <w:rtl w:val="0"/>
        </w:rPr>
      </w:r>
    </w:p>
    <w:p w:rsidR="00000000" w:rsidDel="00000000" w:rsidP="00000000" w:rsidRDefault="00000000" w:rsidRPr="00000000" w14:paraId="0000000C">
      <w:pPr>
        <w:jc w:val="both"/>
        <w:rPr/>
      </w:pPr>
      <w:r w:rsidDel="00000000" w:rsidR="00000000" w:rsidRPr="00000000">
        <w:rPr>
          <w:rtl w:val="0"/>
        </w:rPr>
        <w:t xml:space="preserve">Objet : </w:t>
      </w:r>
      <w:r w:rsidDel="00000000" w:rsidR="00000000" w:rsidRPr="00000000">
        <w:rPr>
          <w:b w:val="1"/>
          <w:rtl w:val="0"/>
        </w:rPr>
        <w:t xml:space="preserve">Prélever des échantillons de substrat d’un digesteur ou d’un post digesteur d’un méthaniseur en voie liquide infiniment mélangée ou d’une cuve à percolât d’un méthaniseur en voie solide.</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Choisir le laboratoire réalisant les analyses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Valider avec le laboratoire la logistique de prélèvement et d’acheminement des échantillons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(bocaux fournis ou non, conditions d’envoi et de transport des échantillons, lieu d’envoi et délai maximal d’acheminement pour la validité de l’échantillon). Ces éléments sont, entre autres, dépendants des paramètres à analyser.</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Dans la mesure du possible,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toujours faire faire ses échantillons par la même personne.</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sectPr>
          <w:pgSz w:h="16838" w:w="11906" w:orient="portrait"/>
          <w:pgMar w:bottom="1134" w:top="851" w:left="1418" w:right="1134" w:header="709" w:footer="567"/>
          <w:pgNumType w:start="1"/>
        </w:sect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Prélever les échantillons lorsque l’agitation est la plus importante.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Positionner les agitateurs de manière à agiter le mieux possible le fond de la cuve. Laisser l’agitation en marche pendant 30 minutes avant de prélever et la maintenir lors de prélèvement.</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09" w:right="0" w:hanging="284"/>
        <w:jc w:val="both"/>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Par la pompe de recirculation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Solution à privilégier. Mettre en route la pompe de recirculation et attendre 3-5 minutes après que la recirculation démarre avant de prélever.</w:t>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284" w:right="0" w:hanging="283"/>
        <w:jc w:val="both"/>
        <w:rPr>
          <w:rFonts w:ascii="Calibri" w:cs="Calibri" w:eastAsia="Calibri" w:hAnsi="Calibri"/>
          <w:b w:val="0"/>
          <w:i w:val="0"/>
          <w:smallCaps w:val="0"/>
          <w:strike w:val="0"/>
          <w:color w:val="000000"/>
          <w:sz w:val="22"/>
          <w:szCs w:val="22"/>
          <w:u w:val="single"/>
          <w:shd w:fill="auto" w:val="clear"/>
          <w:vertAlign w:val="baseline"/>
        </w:rPr>
        <w:sectPr>
          <w:type w:val="continuous"/>
          <w:pgSz w:h="16838" w:w="11906" w:orient="portrait"/>
          <w:pgMar w:bottom="1134" w:top="851" w:left="1418" w:right="1134" w:header="709" w:footer="567"/>
          <w:cols w:equalWidth="0" w:num="2">
            <w:col w:space="282" w:w="4536"/>
            <w:col w:space="0" w:w="4536"/>
          </w:cols>
        </w:sect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Par point de prélèvement sur la cuve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Prélever 10 à 20 litres de substrat selon la taille de la cuve pour purger la canalisation. Prélever à nouveau 10 litres et remplir alors vos flacons.</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360" w:line="259" w:lineRule="auto"/>
        <w:ind w:left="425" w:right="0" w:hanging="35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Ne pas remplir les flacons au 100 %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laisser un minimum de 20-30 % de volume libre</w:t>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Faire un petit trou dans le bouchon avec une aiguille, pour que le biogaz produit pendant le transport puisse échapper. Mettre aussi les flacons dans un sac plastique pour éviter des possibles fuites. Indiquer sur le flacon la date de prélèvement, le lieu et la cuve.</w:t>
      </w:r>
    </w:p>
    <w:p w:rsidR="00000000" w:rsidDel="00000000" w:rsidP="00000000" w:rsidRDefault="00000000" w:rsidRPr="00000000" w14:paraId="0000001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Remplir la fiche de renseignements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du laboratoire</w:t>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426"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Envoyer les échantillons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fiches de renseignements associées au laboratoire dans les conditions prévues au point 1. </w:t>
      </w:r>
    </w:p>
    <w:sectPr>
      <w:type w:val="continuous"/>
      <w:pgSz w:h="16838" w:w="11906" w:orient="portrait"/>
      <w:pgMar w:bottom="1134" w:top="851" w:left="1418" w:right="1134" w:header="709" w:footer="56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En-tte">
    <w:name w:val="header"/>
    <w:basedOn w:val="Normal"/>
    <w:link w:val="En-tteCar"/>
    <w:uiPriority w:val="99"/>
    <w:unhideWhenUsed w:val="1"/>
    <w:rsid w:val="00A6350B"/>
    <w:pPr>
      <w:tabs>
        <w:tab w:val="center" w:pos="4536"/>
        <w:tab w:val="right" w:pos="9072"/>
      </w:tabs>
      <w:spacing w:after="0" w:line="240" w:lineRule="auto"/>
    </w:pPr>
  </w:style>
  <w:style w:type="character" w:styleId="En-tteCar" w:customStyle="1">
    <w:name w:val="En-tête Car"/>
    <w:basedOn w:val="Policepardfaut"/>
    <w:link w:val="En-tte"/>
    <w:uiPriority w:val="99"/>
    <w:rsid w:val="00A6350B"/>
  </w:style>
  <w:style w:type="paragraph" w:styleId="Pieddepage">
    <w:name w:val="footer"/>
    <w:basedOn w:val="Normal"/>
    <w:link w:val="PieddepageCar"/>
    <w:uiPriority w:val="99"/>
    <w:unhideWhenUsed w:val="1"/>
    <w:rsid w:val="00A6350B"/>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A6350B"/>
  </w:style>
  <w:style w:type="paragraph" w:styleId="Textedebulles">
    <w:name w:val="Balloon Text"/>
    <w:basedOn w:val="Normal"/>
    <w:link w:val="TextedebullesCar"/>
    <w:uiPriority w:val="99"/>
    <w:semiHidden w:val="1"/>
    <w:unhideWhenUsed w:val="1"/>
    <w:rsid w:val="00A6350B"/>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A6350B"/>
    <w:rPr>
      <w:rFonts w:ascii="Segoe UI" w:cs="Segoe UI" w:hAnsi="Segoe UI"/>
      <w:sz w:val="18"/>
      <w:szCs w:val="18"/>
    </w:rPr>
  </w:style>
  <w:style w:type="paragraph" w:styleId="Paragraphedeliste">
    <w:name w:val="List Paragraph"/>
    <w:basedOn w:val="Normal"/>
    <w:uiPriority w:val="34"/>
    <w:qFormat w:val="1"/>
    <w:rsid w:val="000A2DE2"/>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BDGLtdB2E2WsGNMebIJSIwbF+w==">AMUW2mXSHGDGWTSbHii2SpbbSZaqskJD9khg/thYeqHt5jiiNYd7puaUaornLtd8mdGWvs72Fm26z06OAJFgZx0MALxDUlwZZ0aiuctTVvvZvoG2qGk5o40=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2016-12-04T15:15:00Z</dcterms:created>
  <dc:creator>Jean François</dc:creator>
</cp:coreProperties>
</file>